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9549B" w14:textId="77777777" w:rsidR="001A284A" w:rsidRDefault="001A284A" w:rsidP="001A284A">
      <w:pPr>
        <w:widowControl w:val="0"/>
        <w:bidi/>
        <w:spacing w:after="0"/>
        <w:jc w:val="center"/>
        <w:rPr>
          <w:rFonts w:cs="QuranTaha"/>
          <w:sz w:val="28"/>
          <w:szCs w:val="28"/>
          <w:lang w:bidi="fa-IR"/>
        </w:rPr>
      </w:pPr>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399FA290" w14:textId="77777777" w:rsidR="001A284A" w:rsidRDefault="001A284A" w:rsidP="001A284A">
      <w:pPr>
        <w:widowControl w:val="0"/>
        <w:bidi/>
        <w:spacing w:after="0"/>
        <w:jc w:val="center"/>
        <w:rPr>
          <w:rFonts w:cs="B Mitra" w:hint="cs"/>
          <w:b/>
          <w:bCs/>
          <w:sz w:val="32"/>
          <w:szCs w:val="32"/>
          <w:rtl/>
          <w:lang w:bidi="fa-IR"/>
        </w:rPr>
      </w:pPr>
      <w:r>
        <w:rPr>
          <w:rFonts w:cs="B Mitra" w:hint="cs"/>
          <w:b/>
          <w:bCs/>
          <w:sz w:val="32"/>
          <w:szCs w:val="32"/>
          <w:rtl/>
          <w:lang w:bidi="fa-IR"/>
        </w:rPr>
        <w:t>تقریر بحث فقه</w:t>
      </w:r>
    </w:p>
    <w:p w14:paraId="3C2C4980" w14:textId="77777777" w:rsidR="001A284A" w:rsidRDefault="001A284A" w:rsidP="001A284A">
      <w:pPr>
        <w:widowControl w:val="0"/>
        <w:bidi/>
        <w:spacing w:after="0"/>
        <w:jc w:val="center"/>
        <w:rPr>
          <w:rFonts w:cs="B Mitra" w:hint="cs"/>
          <w:b/>
          <w:bCs/>
          <w:sz w:val="32"/>
          <w:szCs w:val="32"/>
          <w:rtl/>
          <w:lang w:bidi="fa-IR"/>
        </w:rPr>
      </w:pPr>
      <w:r>
        <w:rPr>
          <w:rFonts w:cs="B Mitra" w:hint="cs"/>
          <w:b/>
          <w:bCs/>
          <w:sz w:val="32"/>
          <w:szCs w:val="32"/>
          <w:rtl/>
          <w:lang w:bidi="fa-IR"/>
        </w:rPr>
        <w:t>جلسه 813</w:t>
      </w:r>
    </w:p>
    <w:p w14:paraId="0A0C8F84" w14:textId="77777777" w:rsidR="001A284A" w:rsidRDefault="001A284A" w:rsidP="001A284A">
      <w:pPr>
        <w:widowControl w:val="0"/>
        <w:bidi/>
        <w:spacing w:after="0" w:line="252" w:lineRule="auto"/>
        <w:ind w:firstLine="284"/>
        <w:jc w:val="both"/>
        <w:rPr>
          <w:rFonts w:cs="Abz-2 (Badr)" w:hint="cs"/>
          <w:sz w:val="28"/>
          <w:szCs w:val="28"/>
          <w:rtl/>
          <w:lang w:bidi="fa-IR"/>
        </w:rPr>
      </w:pPr>
      <w:bookmarkStart w:id="0" w:name="_Hlk159096966"/>
    </w:p>
    <w:bookmarkEnd w:id="0"/>
    <w:p w14:paraId="1EEA7087" w14:textId="77777777" w:rsidR="001A284A" w:rsidRDefault="001A284A" w:rsidP="001A284A">
      <w:pPr>
        <w:pStyle w:val="NormalWeb"/>
        <w:widowControl w:val="0"/>
        <w:bidi/>
        <w:spacing w:before="0" w:beforeAutospacing="0" w:after="0" w:afterAutospacing="0" w:line="256" w:lineRule="auto"/>
        <w:ind w:firstLine="284"/>
        <w:jc w:val="both"/>
        <w:rPr>
          <w:rFonts w:cs="Abz-2 (Badr)" w:hint="cs"/>
          <w:color w:val="C45911" w:themeColor="accent2" w:themeShade="BF"/>
          <w:sz w:val="28"/>
          <w:szCs w:val="28"/>
          <w:rtl/>
          <w:lang w:bidi="fa-IR"/>
        </w:rPr>
      </w:pPr>
      <w:r>
        <w:rPr>
          <w:rFonts w:cs="Abz-2 (Badr)" w:hint="cs"/>
          <w:color w:val="C45911" w:themeColor="accent2" w:themeShade="BF"/>
          <w:sz w:val="28"/>
          <w:szCs w:val="28"/>
          <w:rtl/>
          <w:lang w:bidi="fa-IR"/>
        </w:rPr>
        <w:t>مقام ششم: نهايت دوره حضانت</w:t>
      </w:r>
    </w:p>
    <w:p w14:paraId="22EBC004" w14:textId="77777777" w:rsidR="001A284A" w:rsidRDefault="001A284A" w:rsidP="001A284A">
      <w:pPr>
        <w:pStyle w:val="NormalWeb"/>
        <w:widowControl w:val="0"/>
        <w:bidi/>
        <w:spacing w:before="0" w:beforeAutospacing="0" w:after="0" w:afterAutospacing="0" w:line="256" w:lineRule="auto"/>
        <w:ind w:firstLine="284"/>
        <w:jc w:val="both"/>
        <w:rPr>
          <w:rFonts w:cs="Abz-2 (Badr)" w:hint="cs"/>
          <w:sz w:val="28"/>
          <w:szCs w:val="28"/>
          <w:rtl/>
          <w:lang w:bidi="fa-IR"/>
        </w:rPr>
      </w:pPr>
      <w:r>
        <w:rPr>
          <w:rFonts w:cs="Abz-2 (Badr)" w:hint="cs"/>
          <w:sz w:val="28"/>
          <w:szCs w:val="28"/>
          <w:rtl/>
          <w:lang w:bidi="fa-IR"/>
        </w:rPr>
        <w:t>در کلام اصحاب اين مطلب مسلّم گرفته شده است که نهايت دوران حضانت فرزند، زمان بلوغ وی است مشروط به اين که رشيد باشد و نوعاً استدلالی برای اين مطلب صورت نگرفته است، و برخی ادعای عدم خلاف</w:t>
      </w:r>
      <w:r>
        <w:rPr>
          <w:rStyle w:val="FootnoteReference"/>
          <w:rFonts w:eastAsiaTheme="majorEastAsia" w:cs="Abz-2 (Badr)"/>
          <w:rtl/>
          <w:lang w:bidi="ar"/>
        </w:rPr>
        <w:footnoteReference w:id="1"/>
      </w:r>
      <w:r>
        <w:rPr>
          <w:rFonts w:cs="Abz-2 (Badr)" w:hint="cs"/>
          <w:sz w:val="28"/>
          <w:szCs w:val="28"/>
          <w:rtl/>
          <w:lang w:bidi="fa-IR"/>
        </w:rPr>
        <w:t xml:space="preserve"> و بلکه اجماع</w:t>
      </w:r>
      <w:r>
        <w:rPr>
          <w:rStyle w:val="FootnoteReference"/>
          <w:rFonts w:eastAsiaTheme="majorEastAsia" w:cs="Abz-2 (Badr)"/>
          <w:rtl/>
          <w:lang w:bidi="ar"/>
        </w:rPr>
        <w:footnoteReference w:id="2"/>
      </w:r>
      <w:r>
        <w:rPr>
          <w:rFonts w:cs="Abz-2 (Badr)" w:hint="cs"/>
          <w:sz w:val="28"/>
          <w:szCs w:val="28"/>
          <w:rtl/>
          <w:lang w:bidi="fa-IR"/>
        </w:rPr>
        <w:t xml:space="preserve"> بر اين مطلب کرده</w:t>
      </w:r>
      <w:r>
        <w:rPr>
          <w:rFonts w:cs="Abz-2 (Badr)" w:hint="cs"/>
          <w:sz w:val="28"/>
          <w:szCs w:val="28"/>
          <w:rtl/>
          <w:lang w:bidi="fa-IR"/>
        </w:rPr>
        <w:softHyphen/>
        <w:t>اند.</w:t>
      </w:r>
    </w:p>
    <w:p w14:paraId="49320C2E" w14:textId="77777777" w:rsidR="001A284A" w:rsidRDefault="001A284A" w:rsidP="001A284A">
      <w:pPr>
        <w:pStyle w:val="NormalWeb"/>
        <w:widowControl w:val="0"/>
        <w:bidi/>
        <w:spacing w:before="0" w:beforeAutospacing="0" w:after="0" w:afterAutospacing="0" w:line="256" w:lineRule="auto"/>
        <w:ind w:firstLine="284"/>
        <w:jc w:val="both"/>
        <w:rPr>
          <w:rFonts w:cs="Abz-2 (Badr)" w:hint="cs"/>
          <w:sz w:val="28"/>
          <w:szCs w:val="28"/>
          <w:rtl/>
          <w:lang w:bidi="fa-IR"/>
        </w:rPr>
      </w:pPr>
      <w:r>
        <w:rPr>
          <w:rFonts w:cs="Abz-2 (Badr)" w:hint="cs"/>
          <w:sz w:val="28"/>
          <w:szCs w:val="28"/>
          <w:rtl/>
          <w:lang w:bidi="fa-IR"/>
        </w:rPr>
        <w:t>اين در حالی است که در بين عامه اختلاف زيادی در اين مسأله وجود دارد.</w:t>
      </w:r>
    </w:p>
    <w:p w14:paraId="200A196E" w14:textId="77777777" w:rsidR="001A284A" w:rsidRDefault="001A284A" w:rsidP="001A284A">
      <w:pPr>
        <w:pStyle w:val="NormalWeb"/>
        <w:widowControl w:val="0"/>
        <w:bidi/>
        <w:spacing w:before="0" w:beforeAutospacing="0" w:after="0" w:afterAutospacing="0" w:line="256" w:lineRule="auto"/>
        <w:ind w:firstLine="284"/>
        <w:jc w:val="both"/>
        <w:rPr>
          <w:rFonts w:cs="Abz-2 (Badr)" w:hint="cs"/>
          <w:color w:val="0070C0"/>
          <w:sz w:val="28"/>
          <w:szCs w:val="28"/>
          <w:rtl/>
        </w:rPr>
      </w:pPr>
      <w:r>
        <w:rPr>
          <w:rFonts w:cs="Abz-2 (Badr)" w:hint="cs"/>
          <w:sz w:val="28"/>
          <w:szCs w:val="28"/>
          <w:rtl/>
          <w:lang w:bidi="fa-IR"/>
        </w:rPr>
        <w:t>وهبه زحيلی می</w:t>
      </w:r>
      <w:r>
        <w:rPr>
          <w:rFonts w:cs="Abz-2 (Badr)" w:hint="cs"/>
          <w:sz w:val="28"/>
          <w:szCs w:val="28"/>
          <w:rtl/>
          <w:lang w:bidi="fa-IR"/>
        </w:rPr>
        <w:softHyphen/>
        <w:t xml:space="preserve">گويد: </w:t>
      </w:r>
      <w:r>
        <w:rPr>
          <w:rFonts w:cs="Abz-2 (Badr)" w:hint="cs"/>
          <w:color w:val="0070C0"/>
          <w:sz w:val="28"/>
          <w:szCs w:val="28"/>
          <w:rtl/>
          <w:lang w:bidi="fa-IR"/>
        </w:rPr>
        <w:t>«</w:t>
      </w:r>
      <w:r>
        <w:rPr>
          <w:rFonts w:cs="Abz-2 (Badr)" w:hint="cs"/>
          <w:color w:val="0070C0"/>
          <w:sz w:val="28"/>
          <w:szCs w:val="28"/>
          <w:rtl/>
        </w:rPr>
        <w:t>اتّفق الفقهاء على أنّ الحضانة تبدأ منذ ولادة الطفل إلى سنّ التمييز، واختلفوا في بقائها بعد سنّ التمييز.</w:t>
      </w:r>
    </w:p>
    <w:p w14:paraId="3E7E46D6" w14:textId="77777777" w:rsidR="001A284A" w:rsidRDefault="001A284A" w:rsidP="001A284A">
      <w:pPr>
        <w:pStyle w:val="NormalWeb"/>
        <w:widowControl w:val="0"/>
        <w:bidi/>
        <w:spacing w:before="0" w:beforeAutospacing="0" w:after="0" w:afterAutospacing="0" w:line="256" w:lineRule="auto"/>
        <w:ind w:firstLine="284"/>
        <w:jc w:val="both"/>
        <w:rPr>
          <w:rFonts w:cs="Abz-2 (Badr)" w:hint="cs"/>
          <w:color w:val="0070C0"/>
          <w:sz w:val="28"/>
          <w:szCs w:val="28"/>
          <w:rtl/>
        </w:rPr>
      </w:pPr>
      <w:r>
        <w:rPr>
          <w:rFonts w:cs="Abz-2 (Badr)" w:hint="cs"/>
          <w:color w:val="0070C0"/>
          <w:sz w:val="28"/>
          <w:szCs w:val="28"/>
          <w:rtl/>
        </w:rPr>
        <w:t>قال الحنفيّة: الحاضنة ـ أُمّاً أوغيرها ـ أحقّ بالغلام حتّى يستغني عن خدمة النساء ويستقلّ بنفسه في الأكل والشرب واللبس والاستنجاء، وقدّر زمن استقلاله بسبع سنين، لأنّه الغالب، لقوله(ص): «مروا أولادكم بالصلاة لسبع»</w:t>
      </w:r>
      <w:r>
        <w:rPr>
          <w:rFonts w:cs="Abz-2 (Badr)" w:hint="cs"/>
          <w:color w:val="0070C0"/>
          <w:sz w:val="28"/>
          <w:szCs w:val="28"/>
          <w:lang w:bidi="fa-IR"/>
        </w:rPr>
        <w:t xml:space="preserve"> </w:t>
      </w:r>
      <w:r>
        <w:rPr>
          <w:rFonts w:cs="Abz-2 (Badr)" w:hint="cs"/>
          <w:color w:val="0070C0"/>
          <w:sz w:val="28"/>
          <w:szCs w:val="28"/>
          <w:rtl/>
        </w:rPr>
        <w:t>والأمر بها لا يكون إلا بعد القدرة على الطهارة. وقيل: بتسع سنين.</w:t>
      </w:r>
    </w:p>
    <w:p w14:paraId="0D704A39" w14:textId="77777777" w:rsidR="001A284A" w:rsidRDefault="001A284A" w:rsidP="001A284A">
      <w:pPr>
        <w:pStyle w:val="NormalWeb"/>
        <w:widowControl w:val="0"/>
        <w:bidi/>
        <w:spacing w:before="0" w:beforeAutospacing="0" w:after="0" w:afterAutospacing="0" w:line="256" w:lineRule="auto"/>
        <w:ind w:firstLine="284"/>
        <w:jc w:val="both"/>
        <w:rPr>
          <w:rFonts w:cs="Abz-2 (Badr)" w:hint="cs"/>
          <w:color w:val="0070C0"/>
          <w:sz w:val="28"/>
          <w:szCs w:val="28"/>
          <w:rtl/>
        </w:rPr>
      </w:pPr>
      <w:r>
        <w:rPr>
          <w:rFonts w:cs="Abz-2 (Badr)" w:hint="cs"/>
          <w:color w:val="0070C0"/>
          <w:sz w:val="28"/>
          <w:szCs w:val="28"/>
          <w:rtl/>
        </w:rPr>
        <w:t>والأُمّ والجدّة أحقّ بالفتاة الصغيرة حتّى تبلغ بالحيض أو الإنزال أو السنّ، لأنّها بعد الاستغناء تحتاج إلى معرفة آداب النساء، والمرأة على ذلك أقدر، وأمّا بعد البلوغ فتحتاج إلى التحصين والحفظ، والأب فيه أقوى وأهدى.</w:t>
      </w:r>
    </w:p>
    <w:p w14:paraId="27DC3550" w14:textId="77777777" w:rsidR="001A284A" w:rsidRDefault="001A284A" w:rsidP="001A284A">
      <w:pPr>
        <w:pStyle w:val="NormalWeb"/>
        <w:widowControl w:val="0"/>
        <w:bidi/>
        <w:spacing w:before="0" w:beforeAutospacing="0" w:after="0" w:afterAutospacing="0" w:line="256" w:lineRule="auto"/>
        <w:ind w:firstLine="284"/>
        <w:jc w:val="both"/>
        <w:rPr>
          <w:rFonts w:cs="Abz-2 (Badr)" w:hint="cs"/>
          <w:color w:val="0070C0"/>
          <w:sz w:val="28"/>
          <w:szCs w:val="28"/>
          <w:rtl/>
        </w:rPr>
      </w:pPr>
      <w:r>
        <w:rPr>
          <w:rFonts w:cs="Abz-2 (Badr)" w:hint="cs"/>
          <w:color w:val="0070C0"/>
          <w:sz w:val="28"/>
          <w:szCs w:val="28"/>
          <w:rtl/>
        </w:rPr>
        <w:t>وبلوغ الصغيرة إمّا بتسع سنين أو بإحدى عشرة سنة...</w:t>
      </w:r>
    </w:p>
    <w:p w14:paraId="45F61847" w14:textId="77777777" w:rsidR="001A284A" w:rsidRDefault="001A284A" w:rsidP="001A284A">
      <w:pPr>
        <w:pStyle w:val="NormalWeb"/>
        <w:widowControl w:val="0"/>
        <w:bidi/>
        <w:spacing w:before="0" w:beforeAutospacing="0" w:after="0" w:afterAutospacing="0" w:line="256" w:lineRule="auto"/>
        <w:ind w:firstLine="284"/>
        <w:jc w:val="both"/>
        <w:rPr>
          <w:rFonts w:cs="Abz-2 (Badr)" w:hint="cs"/>
          <w:color w:val="0070C0"/>
          <w:sz w:val="28"/>
          <w:szCs w:val="28"/>
          <w:rtl/>
        </w:rPr>
      </w:pPr>
      <w:r>
        <w:rPr>
          <w:rFonts w:cs="Abz-2 (Badr)" w:hint="cs"/>
          <w:color w:val="0070C0"/>
          <w:sz w:val="28"/>
          <w:szCs w:val="28"/>
          <w:rtl/>
        </w:rPr>
        <w:lastRenderedPageBreak/>
        <w:t>وقال المالكيّة</w:t>
      </w:r>
      <w:r>
        <w:rPr>
          <w:rFonts w:cs="Abz-2 (Badr)" w:hint="cs"/>
          <w:color w:val="0070C0"/>
          <w:sz w:val="28"/>
          <w:szCs w:val="28"/>
          <w:rtl/>
          <w:lang w:bidi="fa-IR"/>
        </w:rPr>
        <w:t xml:space="preserve">: </w:t>
      </w:r>
      <w:r>
        <w:rPr>
          <w:rFonts w:cs="Abz-2 (Badr)" w:hint="cs"/>
          <w:color w:val="0070C0"/>
          <w:sz w:val="28"/>
          <w:szCs w:val="28"/>
          <w:rtl/>
        </w:rPr>
        <w:t>تستمرّ الحضانة في الغلام إلى البلوغ على المشهور، ولو مجنوناً أو مريضاً، وفي الأُنثى إلى الزواج ودخول الزوج بها ولو كانت الأُمّ كافرة.</w:t>
      </w:r>
    </w:p>
    <w:p w14:paraId="0D0E29F2" w14:textId="77777777" w:rsidR="001A284A" w:rsidRDefault="001A284A" w:rsidP="001A284A">
      <w:pPr>
        <w:pStyle w:val="NormalWeb"/>
        <w:widowControl w:val="0"/>
        <w:bidi/>
        <w:spacing w:before="0" w:beforeAutospacing="0" w:after="0" w:afterAutospacing="0" w:line="256" w:lineRule="auto"/>
        <w:ind w:firstLine="284"/>
        <w:jc w:val="both"/>
        <w:rPr>
          <w:rFonts w:cs="Abz-2 (Badr)" w:hint="cs"/>
          <w:color w:val="0070C0"/>
          <w:sz w:val="28"/>
          <w:szCs w:val="28"/>
          <w:rtl/>
        </w:rPr>
      </w:pPr>
      <w:r>
        <w:rPr>
          <w:rFonts w:cs="Abz-2 (Badr)" w:hint="cs"/>
          <w:color w:val="0070C0"/>
          <w:sz w:val="28"/>
          <w:szCs w:val="28"/>
          <w:rtl/>
        </w:rPr>
        <w:t>وهذا في الأُمّ المطلّقة أو من مات زوجها. وأمّا من في عصمة زوجها فهي حقّ للزوجين جميعاً.</w:t>
      </w:r>
    </w:p>
    <w:p w14:paraId="736BEDB2" w14:textId="77777777" w:rsidR="001A284A" w:rsidRDefault="001A284A" w:rsidP="001A284A">
      <w:pPr>
        <w:pStyle w:val="NormalWeb"/>
        <w:widowControl w:val="0"/>
        <w:bidi/>
        <w:spacing w:before="0" w:beforeAutospacing="0" w:after="0" w:afterAutospacing="0" w:line="256" w:lineRule="auto"/>
        <w:ind w:firstLine="284"/>
        <w:jc w:val="both"/>
        <w:rPr>
          <w:rFonts w:cs="Abz-2 (Badr)" w:hint="cs"/>
          <w:color w:val="0070C0"/>
          <w:sz w:val="28"/>
          <w:szCs w:val="28"/>
          <w:rtl/>
        </w:rPr>
      </w:pPr>
      <w:r>
        <w:rPr>
          <w:rFonts w:cs="Abz-2 (Badr)" w:hint="cs"/>
          <w:color w:val="0070C0"/>
          <w:sz w:val="28"/>
          <w:szCs w:val="28"/>
          <w:rtl/>
        </w:rPr>
        <w:t>ولا يخيّر الولد في رأي الحنفيّة والمالكيّة، لأنّه لا قول له ولا يعرف حظّه، وقد يختار من يلعب عنده.</w:t>
      </w:r>
    </w:p>
    <w:p w14:paraId="0E8ABC21" w14:textId="77777777" w:rsidR="001A284A" w:rsidRDefault="001A284A" w:rsidP="001A284A">
      <w:pPr>
        <w:pStyle w:val="NormalWeb"/>
        <w:widowControl w:val="0"/>
        <w:bidi/>
        <w:spacing w:before="0" w:beforeAutospacing="0" w:after="0" w:afterAutospacing="0" w:line="256" w:lineRule="auto"/>
        <w:ind w:firstLine="284"/>
        <w:jc w:val="both"/>
        <w:rPr>
          <w:rFonts w:cs="Abz-2 (Badr)" w:hint="cs"/>
          <w:color w:val="0070C0"/>
          <w:sz w:val="28"/>
          <w:szCs w:val="28"/>
          <w:rtl/>
        </w:rPr>
      </w:pPr>
      <w:r>
        <w:rPr>
          <w:rFonts w:cs="Abz-2 (Badr)" w:hint="cs"/>
          <w:color w:val="0070C0"/>
          <w:sz w:val="28"/>
          <w:szCs w:val="28"/>
          <w:rtl/>
        </w:rPr>
        <w:t>وقال الشافعيّة</w:t>
      </w:r>
      <w:r>
        <w:rPr>
          <w:rFonts w:cs="Abz-2 (Badr)" w:hint="cs"/>
          <w:color w:val="0070C0"/>
          <w:sz w:val="28"/>
          <w:szCs w:val="28"/>
          <w:rtl/>
          <w:lang w:bidi="fa-IR"/>
        </w:rPr>
        <w:t xml:space="preserve">: </w:t>
      </w:r>
      <w:r>
        <w:rPr>
          <w:rFonts w:cs="Abz-2 (Badr)" w:hint="cs"/>
          <w:color w:val="0070C0"/>
          <w:sz w:val="28"/>
          <w:szCs w:val="28"/>
          <w:rtl/>
        </w:rPr>
        <w:t>إن افترق الزوجان ولهما ولد مميّز ـ ذكر أو أُنثى ـ وله سبع أو ثمان سنين وصلح الزوجان للحضانة حتّى لو فضل أحدهما الآخر ديناً أو مالاً أو محبّة وتنازعا في الحضانة، خيّر بينهما وكان عند من اختار منهما... والولد يتخيّر ولو أسقط أحد الزوجين حقّه قبل التخيير...</w:t>
      </w:r>
    </w:p>
    <w:p w14:paraId="7B5FF834" w14:textId="77777777" w:rsidR="001A284A" w:rsidRDefault="001A284A" w:rsidP="001A284A">
      <w:pPr>
        <w:pStyle w:val="NormalWeb"/>
        <w:widowControl w:val="0"/>
        <w:bidi/>
        <w:spacing w:before="0" w:beforeAutospacing="0" w:after="0" w:afterAutospacing="0" w:line="252" w:lineRule="auto"/>
        <w:ind w:firstLine="284"/>
        <w:jc w:val="both"/>
        <w:rPr>
          <w:rFonts w:cs="Abz-2 (Badr)" w:hint="cs"/>
          <w:color w:val="0070C0"/>
          <w:sz w:val="28"/>
          <w:szCs w:val="28"/>
          <w:rtl/>
        </w:rPr>
      </w:pPr>
      <w:r>
        <w:rPr>
          <w:rFonts w:cs="Abz-2 (Badr)" w:hint="cs"/>
          <w:color w:val="0070C0"/>
          <w:sz w:val="28"/>
          <w:szCs w:val="28"/>
          <w:rtl/>
        </w:rPr>
        <w:t>ويخيّر الولد أيضاً بين أُم وجدّ، وكذا أخ أو عمّ أو أب مع أُخت أو خالة في الأصحّ، فإن اختار أحدهما ثمّ اختار الآخر، حوّل إليه، لأنّه قد يظهر له الأمر بخلاف ما ظنّه، أويتغيّر حال من اختاره أوّلاً، ولأنّ الولد قد يقصد مراعاة الجانبين.</w:t>
      </w:r>
    </w:p>
    <w:p w14:paraId="2BC1E844" w14:textId="77777777" w:rsidR="001A284A" w:rsidRDefault="001A284A" w:rsidP="001A284A">
      <w:pPr>
        <w:pStyle w:val="NormalWeb"/>
        <w:widowControl w:val="0"/>
        <w:bidi/>
        <w:spacing w:before="0" w:beforeAutospacing="0" w:after="0" w:afterAutospacing="0" w:line="252" w:lineRule="auto"/>
        <w:ind w:firstLine="284"/>
        <w:jc w:val="both"/>
        <w:rPr>
          <w:rFonts w:cs="Abz-2 (Badr)" w:hint="cs"/>
          <w:color w:val="0070C0"/>
          <w:sz w:val="28"/>
          <w:szCs w:val="28"/>
          <w:rtl/>
        </w:rPr>
      </w:pPr>
      <w:r>
        <w:rPr>
          <w:rFonts w:cs="Abz-2 (Badr)" w:hint="cs"/>
          <w:color w:val="0070C0"/>
          <w:sz w:val="28"/>
          <w:szCs w:val="28"/>
          <w:rtl/>
        </w:rPr>
        <w:t>وقال الحنابلة: إذا بلغ الغلام غير المعتوه سبع سنين، خيّر بين أبويه إذا تنازعا فيه كما قال الشافعيّة، فكان مع من اختار منهما. ومتى اختار أحدهما فسلّم إليه ثمّ اختار الآخر، ردّ إليه. ويخيّر الغلام بين أُمّه وعصبته...</w:t>
      </w:r>
    </w:p>
    <w:p w14:paraId="48F83878" w14:textId="77777777" w:rsidR="001A284A" w:rsidRDefault="001A284A" w:rsidP="001A284A">
      <w:pPr>
        <w:pStyle w:val="NormalWeb"/>
        <w:widowControl w:val="0"/>
        <w:bidi/>
        <w:spacing w:before="0" w:beforeAutospacing="0" w:after="0" w:afterAutospacing="0" w:line="252" w:lineRule="auto"/>
        <w:ind w:firstLine="284"/>
        <w:jc w:val="both"/>
        <w:rPr>
          <w:rFonts w:cs="Abz-2 (Badr)" w:hint="cs"/>
          <w:color w:val="0070C0"/>
          <w:sz w:val="28"/>
          <w:szCs w:val="28"/>
          <w:rtl/>
        </w:rPr>
      </w:pPr>
      <w:r>
        <w:rPr>
          <w:rFonts w:cs="Abz-2 (Badr)" w:hint="cs"/>
          <w:color w:val="0070C0"/>
          <w:sz w:val="28"/>
          <w:szCs w:val="28"/>
          <w:rtl/>
        </w:rPr>
        <w:t>وإنّما يخيّر الغلام بشرطين:</w:t>
      </w:r>
    </w:p>
    <w:p w14:paraId="759B1D2C" w14:textId="77777777" w:rsidR="001A284A" w:rsidRDefault="001A284A" w:rsidP="001A284A">
      <w:pPr>
        <w:pStyle w:val="NormalWeb"/>
        <w:widowControl w:val="0"/>
        <w:bidi/>
        <w:spacing w:before="0" w:beforeAutospacing="0" w:after="0" w:afterAutospacing="0" w:line="252" w:lineRule="auto"/>
        <w:ind w:firstLine="284"/>
        <w:jc w:val="both"/>
        <w:rPr>
          <w:rFonts w:cs="Abz-2 (Badr)" w:hint="cs"/>
          <w:color w:val="0070C0"/>
          <w:spacing w:val="-4"/>
          <w:sz w:val="28"/>
          <w:szCs w:val="28"/>
          <w:rtl/>
        </w:rPr>
      </w:pPr>
      <w:r>
        <w:rPr>
          <w:rFonts w:cs="Abz-2 (Badr)" w:hint="cs"/>
          <w:color w:val="0070C0"/>
          <w:spacing w:val="-4"/>
          <w:sz w:val="28"/>
          <w:szCs w:val="28"/>
          <w:rtl/>
        </w:rPr>
        <w:t>أحدهما: أن يكون الأبوان وغيرهما من أهل الحضانة، فإن كان أحدهما من غير أهل الحضانة، كان كالمعدوم ويتعيّن الآخر.</w:t>
      </w:r>
    </w:p>
    <w:p w14:paraId="5ABB090F" w14:textId="77777777" w:rsidR="001A284A" w:rsidRDefault="001A284A" w:rsidP="001A284A">
      <w:pPr>
        <w:pStyle w:val="NormalWeb"/>
        <w:widowControl w:val="0"/>
        <w:bidi/>
        <w:spacing w:before="0" w:beforeAutospacing="0" w:after="0" w:afterAutospacing="0" w:line="252" w:lineRule="auto"/>
        <w:ind w:firstLine="284"/>
        <w:jc w:val="both"/>
        <w:rPr>
          <w:rFonts w:cs="Abz-2 (Badr)" w:hint="cs"/>
          <w:color w:val="0070C0"/>
          <w:sz w:val="28"/>
          <w:szCs w:val="28"/>
          <w:rtl/>
        </w:rPr>
      </w:pPr>
      <w:r>
        <w:rPr>
          <w:rFonts w:cs="Abz-2 (Badr)" w:hint="cs"/>
          <w:color w:val="0070C0"/>
          <w:sz w:val="28"/>
          <w:szCs w:val="28"/>
          <w:rtl/>
        </w:rPr>
        <w:t>الثاني: ألا يكون الغلام معتوهاً، فإن كان معتوهاً كان عند الأُمّ ولم يخيّر، لأنّ المعتوه بمنزلة الطفل وإن كان كبيراً، لذا كانت الأُمّ أحقّ بكفالة ولدها المعتوه بعد بلوغه.</w:t>
      </w:r>
    </w:p>
    <w:p w14:paraId="545769D4" w14:textId="77777777" w:rsidR="001A284A" w:rsidRDefault="001A284A" w:rsidP="001A284A">
      <w:pPr>
        <w:pStyle w:val="NormalWeb"/>
        <w:widowControl w:val="0"/>
        <w:bidi/>
        <w:spacing w:before="0" w:beforeAutospacing="0" w:after="0" w:afterAutospacing="0" w:line="252" w:lineRule="auto"/>
        <w:ind w:firstLine="284"/>
        <w:jc w:val="both"/>
        <w:rPr>
          <w:rFonts w:cs="Abz-2 (Badr)" w:hint="cs"/>
          <w:color w:val="0070C0"/>
          <w:sz w:val="28"/>
          <w:szCs w:val="28"/>
          <w:rtl/>
        </w:rPr>
      </w:pPr>
      <w:r>
        <w:rPr>
          <w:rFonts w:cs="Abz-2 (Badr)" w:hint="cs"/>
          <w:color w:val="0070C0"/>
          <w:sz w:val="28"/>
          <w:szCs w:val="28"/>
          <w:rtl/>
        </w:rPr>
        <w:t>أمّا الفتاة إذا بلغت سبع سنين فالأب أحقّ بها ولا تخيّر عندهم خلافاً للشافعيّة...»</w:t>
      </w:r>
      <w:r>
        <w:rPr>
          <w:rStyle w:val="FootnoteReference"/>
          <w:rFonts w:eastAsiaTheme="majorEastAsia" w:cs="Abz-2 (Badr)"/>
          <w:rtl/>
          <w:lang w:bidi="ar"/>
        </w:rPr>
        <w:footnoteReference w:id="3"/>
      </w:r>
    </w:p>
    <w:p w14:paraId="3883BAA4" w14:textId="77777777" w:rsidR="001A284A" w:rsidRDefault="001A284A" w:rsidP="001A284A">
      <w:pPr>
        <w:pStyle w:val="NormalWeb"/>
        <w:widowControl w:val="0"/>
        <w:bidi/>
        <w:spacing w:before="0" w:beforeAutospacing="0" w:after="0" w:afterAutospacing="0" w:line="252" w:lineRule="auto"/>
        <w:ind w:firstLine="284"/>
        <w:jc w:val="both"/>
        <w:rPr>
          <w:rFonts w:cs="Abz-2 (Badr)" w:hint="cs"/>
          <w:sz w:val="28"/>
          <w:szCs w:val="28"/>
          <w:rtl/>
          <w:lang w:bidi="fa-IR"/>
        </w:rPr>
      </w:pPr>
      <w:r>
        <w:rPr>
          <w:rFonts w:cs="Abz-2 (Badr)" w:hint="cs"/>
          <w:sz w:val="28"/>
          <w:szCs w:val="28"/>
          <w:rtl/>
          <w:lang w:bidi="fa-IR"/>
        </w:rPr>
        <w:t>از اقوال مذکور معلوم می</w:t>
      </w:r>
      <w:r>
        <w:rPr>
          <w:rFonts w:cs="Abz-2 (Badr)" w:hint="cs"/>
          <w:sz w:val="28"/>
          <w:szCs w:val="28"/>
          <w:rtl/>
          <w:lang w:bidi="fa-IR"/>
        </w:rPr>
        <w:softHyphen/>
        <w:t>شود که ريشه آنچه که سابقاً از ابن جنيد گذشت مبنی بر اين که حضانت فرزند کم عقل مطلقاً با مادر است، در کلمات عامه است.</w:t>
      </w:r>
    </w:p>
    <w:p w14:paraId="309BEA24" w14:textId="77777777" w:rsidR="001A284A" w:rsidRDefault="001A284A" w:rsidP="001A284A">
      <w:pPr>
        <w:pStyle w:val="NormalWeb"/>
        <w:widowControl w:val="0"/>
        <w:bidi/>
        <w:spacing w:before="0" w:beforeAutospacing="0" w:after="0" w:afterAutospacing="0" w:line="252" w:lineRule="auto"/>
        <w:ind w:firstLine="284"/>
        <w:jc w:val="both"/>
        <w:rPr>
          <w:rFonts w:cs="Abz-2 (Badr)" w:hint="cs"/>
          <w:sz w:val="28"/>
          <w:szCs w:val="28"/>
          <w:rtl/>
          <w:lang w:bidi="fa-IR"/>
        </w:rPr>
      </w:pPr>
      <w:r>
        <w:rPr>
          <w:rFonts w:cs="Abz-2 (Badr)" w:hint="cs"/>
          <w:sz w:val="28"/>
          <w:szCs w:val="28"/>
          <w:rtl/>
          <w:lang w:bidi="fa-IR"/>
        </w:rPr>
        <w:t>ظاهراً مراد از رشد نيز در نزد اصحاب عقل است، نه رشد به معنی خاص آن که رشد مالی باشد.</w:t>
      </w:r>
    </w:p>
    <w:p w14:paraId="68722245" w14:textId="77777777" w:rsidR="001A284A" w:rsidRDefault="001A284A" w:rsidP="001A284A">
      <w:pPr>
        <w:pStyle w:val="NormalWeb"/>
        <w:widowControl w:val="0"/>
        <w:bidi/>
        <w:spacing w:before="0" w:beforeAutospacing="0" w:after="0" w:afterAutospacing="0" w:line="252" w:lineRule="auto"/>
        <w:ind w:firstLine="284"/>
        <w:jc w:val="both"/>
        <w:rPr>
          <w:rFonts w:cs="Abz-2 (Badr)" w:hint="cs"/>
          <w:sz w:val="28"/>
          <w:szCs w:val="28"/>
          <w:rtl/>
          <w:lang w:bidi="fa-IR"/>
        </w:rPr>
      </w:pPr>
      <w:r>
        <w:rPr>
          <w:rFonts w:cs="Abz-2 (Badr)" w:hint="cs"/>
          <w:sz w:val="28"/>
          <w:szCs w:val="28"/>
          <w:rtl/>
          <w:lang w:bidi="fa-IR"/>
        </w:rPr>
        <w:lastRenderedPageBreak/>
        <w:t>فلذا ابن برّاج می</w:t>
      </w:r>
      <w:r>
        <w:rPr>
          <w:rFonts w:cs="Abz-2 (Badr)" w:hint="cs"/>
          <w:sz w:val="28"/>
          <w:szCs w:val="28"/>
          <w:rtl/>
          <w:lang w:bidi="fa-IR"/>
        </w:rPr>
        <w:softHyphen/>
        <w:t xml:space="preserve">گويد: </w:t>
      </w:r>
      <w:r>
        <w:rPr>
          <w:rFonts w:cs="Abz-2 (Badr)" w:hint="cs"/>
          <w:color w:val="0070C0"/>
          <w:sz w:val="28"/>
          <w:szCs w:val="28"/>
          <w:rtl/>
          <w:lang w:bidi="fa-IR"/>
        </w:rPr>
        <w:t>«إ</w:t>
      </w:r>
      <w:r>
        <w:rPr>
          <w:rFonts w:cs="Abz-2 (Badr)" w:hint="cs"/>
          <w:color w:val="0070C0"/>
          <w:sz w:val="28"/>
          <w:szCs w:val="28"/>
          <w:rtl/>
          <w:lang w:bidi="ar"/>
        </w:rPr>
        <w:t>ن كان بالغاً عاقلاً كان مخيّراً بين أن يكون مع أبيه أو أُمّه.»</w:t>
      </w:r>
      <w:r>
        <w:rPr>
          <w:rStyle w:val="FootnoteReference"/>
          <w:rFonts w:eastAsiaTheme="majorEastAsia" w:cs="Abz-2 (Badr)"/>
          <w:rtl/>
          <w:lang w:bidi="ar"/>
        </w:rPr>
        <w:footnoteReference w:id="4"/>
      </w:r>
    </w:p>
    <w:p w14:paraId="7D999DEF" w14:textId="77777777" w:rsidR="001A284A" w:rsidRDefault="001A284A" w:rsidP="001A284A">
      <w:pPr>
        <w:pStyle w:val="NormalWeb"/>
        <w:widowControl w:val="0"/>
        <w:bidi/>
        <w:spacing w:before="0" w:beforeAutospacing="0" w:after="0" w:afterAutospacing="0" w:line="252" w:lineRule="auto"/>
        <w:ind w:firstLine="284"/>
        <w:jc w:val="both"/>
        <w:rPr>
          <w:rFonts w:cs="Abz-2 (Badr)" w:hint="cs"/>
          <w:color w:val="0070C0"/>
          <w:sz w:val="28"/>
          <w:szCs w:val="28"/>
          <w:rtl/>
          <w:lang w:bidi="ar"/>
        </w:rPr>
      </w:pPr>
      <w:r>
        <w:rPr>
          <w:rFonts w:cs="Abz-2 (Badr)" w:hint="cs"/>
          <w:sz w:val="28"/>
          <w:szCs w:val="28"/>
          <w:rtl/>
          <w:lang w:bidi="fa-IR"/>
        </w:rPr>
        <w:t>اما شهيد ثانی در استدلال بر اين مدعا می</w:t>
      </w:r>
      <w:r>
        <w:rPr>
          <w:rFonts w:cs="Abz-2 (Badr)" w:hint="cs"/>
          <w:sz w:val="28"/>
          <w:szCs w:val="28"/>
          <w:rtl/>
          <w:lang w:bidi="fa-IR"/>
        </w:rPr>
        <w:softHyphen/>
        <w:t xml:space="preserve">فرمايد: </w:t>
      </w:r>
      <w:r>
        <w:rPr>
          <w:rFonts w:cs="Abz-2 (Badr)" w:hint="cs"/>
          <w:color w:val="0070C0"/>
          <w:sz w:val="28"/>
          <w:szCs w:val="28"/>
          <w:rtl/>
          <w:lang w:bidi="fa-IR"/>
        </w:rPr>
        <w:t>«</w:t>
      </w:r>
      <w:r>
        <w:rPr>
          <w:rFonts w:cs="Abz-2 (Badr)" w:hint="cs"/>
          <w:color w:val="0070C0"/>
          <w:sz w:val="28"/>
          <w:szCs w:val="28"/>
          <w:rtl/>
          <w:lang w:bidi="ar"/>
        </w:rPr>
        <w:t>وإذا بلغ الولد رشيداً سقطت الحضانة عنه، لأنّها ولاية، والبالغ الرشيد لا ولاية عليه لأحد، سواءً في ذلك الذكر والأُنثى، البكر والثيّب، لكن يستحبّ له أن لا يفارق أُمّه خصوصاً الأُنثى إلى أن تتزوّج.»</w:t>
      </w:r>
      <w:r>
        <w:rPr>
          <w:rStyle w:val="FootnoteReference"/>
          <w:rFonts w:eastAsiaTheme="majorEastAsia" w:cs="Abz-2 (Badr)"/>
          <w:rtl/>
          <w:lang w:bidi="ar"/>
        </w:rPr>
        <w:footnoteReference w:id="5"/>
      </w:r>
    </w:p>
    <w:p w14:paraId="094CD71C" w14:textId="77777777" w:rsidR="001A284A" w:rsidRDefault="001A284A" w:rsidP="001A284A">
      <w:pPr>
        <w:pStyle w:val="NormalWeb"/>
        <w:widowControl w:val="0"/>
        <w:bidi/>
        <w:spacing w:before="0" w:beforeAutospacing="0" w:after="0" w:afterAutospacing="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ar"/>
        </w:rPr>
        <w:t>اما اشکال اين استدلال اين است که همان گونه که گذشت، حق حضانت به معنای ولايت حاضن بر محضون نيست، بلکه اذنی است که شارع به جهت ولايتی که بر مکلّفين دارد به حاضن در جهت تأمين شرائط حفظ و مراقبت و نگهداری محضون داده است.</w:t>
      </w:r>
    </w:p>
    <w:p w14:paraId="63E4F542" w14:textId="77777777" w:rsidR="001A284A" w:rsidRDefault="001A284A" w:rsidP="001A284A">
      <w:pPr>
        <w:pStyle w:val="NormalWeb"/>
        <w:widowControl w:val="0"/>
        <w:bidi/>
        <w:spacing w:before="0" w:beforeAutospacing="0" w:after="0" w:afterAutospacing="0" w:line="252" w:lineRule="auto"/>
        <w:ind w:firstLine="284"/>
        <w:jc w:val="both"/>
        <w:rPr>
          <w:rFonts w:cs="Abz-2 (Badr)" w:hint="cs"/>
          <w:sz w:val="28"/>
          <w:szCs w:val="28"/>
          <w:rtl/>
          <w:lang w:bidi="fa-IR"/>
        </w:rPr>
      </w:pPr>
      <w:r>
        <w:rPr>
          <w:rFonts w:cs="Abz-2 (Badr)" w:hint="cs"/>
          <w:color w:val="000000" w:themeColor="text1"/>
          <w:sz w:val="28"/>
          <w:szCs w:val="28"/>
          <w:rtl/>
          <w:lang w:bidi="fa-IR"/>
        </w:rPr>
        <w:t>ادامه مطلب را جلسه آينده پی می</w:t>
      </w:r>
      <w:r>
        <w:rPr>
          <w:rFonts w:cs="Abz-2 (Badr)" w:hint="cs"/>
          <w:color w:val="000000" w:themeColor="text1"/>
          <w:sz w:val="28"/>
          <w:szCs w:val="28"/>
          <w:rtl/>
          <w:lang w:bidi="fa-IR"/>
        </w:rPr>
        <w:softHyphen/>
        <w:t>گيريم ان شاء الله.</w:t>
      </w:r>
    </w:p>
    <w:p w14:paraId="358854CE" w14:textId="2276C044" w:rsidR="0027088A" w:rsidRPr="001A284A" w:rsidRDefault="0027088A" w:rsidP="001A284A"/>
    <w:sectPr w:rsidR="0027088A" w:rsidRPr="001A284A" w:rsidSect="005A14AD">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7CEB8" w14:textId="77777777" w:rsidR="007077AF" w:rsidRDefault="007077AF" w:rsidP="00F71127">
      <w:pPr>
        <w:spacing w:after="0" w:line="240" w:lineRule="auto"/>
      </w:pPr>
      <w:r>
        <w:separator/>
      </w:r>
    </w:p>
  </w:endnote>
  <w:endnote w:type="continuationSeparator" w:id="0">
    <w:p w14:paraId="3AA87C74" w14:textId="77777777" w:rsidR="007077AF" w:rsidRDefault="007077AF"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4C821" w14:textId="77777777" w:rsidR="001A284A" w:rsidRDefault="001A28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E5862" w14:textId="77777777" w:rsidR="001A284A" w:rsidRDefault="001A28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C3993" w14:textId="77777777" w:rsidR="007077AF" w:rsidRDefault="007077AF" w:rsidP="00EE25C0">
      <w:pPr>
        <w:bidi/>
        <w:spacing w:after="0" w:line="240" w:lineRule="auto"/>
      </w:pPr>
      <w:r>
        <w:separator/>
      </w:r>
    </w:p>
  </w:footnote>
  <w:footnote w:type="continuationSeparator" w:id="0">
    <w:p w14:paraId="36657917" w14:textId="77777777" w:rsidR="007077AF" w:rsidRDefault="007077AF" w:rsidP="00F71127">
      <w:pPr>
        <w:bidi/>
        <w:spacing w:after="0" w:line="240" w:lineRule="auto"/>
      </w:pPr>
      <w:r>
        <w:continuationSeparator/>
      </w:r>
    </w:p>
  </w:footnote>
  <w:footnote w:id="1">
    <w:p w14:paraId="61A1C5A2" w14:textId="77777777" w:rsidR="001A284A" w:rsidRDefault="001A284A" w:rsidP="001A284A">
      <w:pPr>
        <w:widowControl w:val="0"/>
        <w:bidi/>
        <w:spacing w:after="0" w:line="264" w:lineRule="auto"/>
        <w:rPr>
          <w:rFonts w:cs="Abz-2 (Badr)" w:hint="cs"/>
          <w:rtl/>
          <w:lang w:bidi="fa-IR"/>
        </w:rPr>
      </w:pPr>
      <w:r>
        <w:rPr>
          <w:rStyle w:val="FootnoteReference"/>
          <w:rFonts w:cs="Abz-2 (Badr)"/>
        </w:rPr>
        <w:footnoteRef/>
      </w:r>
      <w:r>
        <w:rPr>
          <w:rFonts w:cs="Abz-2 (Badr)"/>
        </w:rPr>
        <w:t xml:space="preserve"> </w:t>
      </w:r>
      <w:r>
        <w:rPr>
          <w:rFonts w:cs="Abz-2 (Badr)" w:hint="cs"/>
          <w:rtl/>
        </w:rPr>
        <w:t>ـ رياض،ج12،ص162.</w:t>
      </w:r>
    </w:p>
  </w:footnote>
  <w:footnote w:id="2">
    <w:p w14:paraId="1627BDD5" w14:textId="77777777" w:rsidR="001A284A" w:rsidRDefault="001A284A" w:rsidP="001A284A">
      <w:pPr>
        <w:widowControl w:val="0"/>
        <w:bidi/>
        <w:spacing w:after="0" w:line="264" w:lineRule="auto"/>
        <w:rPr>
          <w:rFonts w:cs="Abz-2 (Badr)" w:hint="cs"/>
          <w:rtl/>
          <w:lang w:bidi="fa-IR"/>
        </w:rPr>
      </w:pPr>
      <w:r>
        <w:rPr>
          <w:rStyle w:val="FootnoteReference"/>
          <w:rFonts w:cs="Abz-2 (Badr)"/>
        </w:rPr>
        <w:footnoteRef/>
      </w:r>
      <w:r>
        <w:rPr>
          <w:rFonts w:cs="Abz-2 (Badr)"/>
        </w:rPr>
        <w:t xml:space="preserve"> </w:t>
      </w:r>
      <w:r>
        <w:rPr>
          <w:rFonts w:cs="Abz-2 (Badr)" w:hint="cs"/>
          <w:rtl/>
        </w:rPr>
        <w:t>ـ مسالك،ج8،ص436 ـ جواهر،ج31،ص301.</w:t>
      </w:r>
    </w:p>
  </w:footnote>
  <w:footnote w:id="3">
    <w:p w14:paraId="0DAA5006" w14:textId="77777777" w:rsidR="001A284A" w:rsidRDefault="001A284A" w:rsidP="001A284A">
      <w:pPr>
        <w:widowControl w:val="0"/>
        <w:bidi/>
        <w:spacing w:after="0" w:line="264" w:lineRule="auto"/>
        <w:rPr>
          <w:rFonts w:cs="Abz-2 (Badr)" w:hint="cs"/>
          <w:rtl/>
          <w:lang w:bidi="fa-IR"/>
        </w:rPr>
      </w:pPr>
      <w:r>
        <w:rPr>
          <w:rStyle w:val="FootnoteReference"/>
          <w:rFonts w:cs="Abz-2 (Badr)"/>
        </w:rPr>
        <w:footnoteRef/>
      </w:r>
      <w:r>
        <w:rPr>
          <w:rFonts w:cs="Abz-2 (Badr)"/>
        </w:rPr>
        <w:t xml:space="preserve"> </w:t>
      </w:r>
      <w:r>
        <w:rPr>
          <w:rFonts w:cs="Abz-2 (Badr)" w:hint="cs"/>
          <w:rtl/>
        </w:rPr>
        <w:t>ـ الفقه الإسلامي وأدلّته،ج10،ص7322 - 7325.</w:t>
      </w:r>
    </w:p>
  </w:footnote>
  <w:footnote w:id="4">
    <w:p w14:paraId="59CCC022" w14:textId="77777777" w:rsidR="001A284A" w:rsidRDefault="001A284A" w:rsidP="001A284A">
      <w:pPr>
        <w:widowControl w:val="0"/>
        <w:bidi/>
        <w:spacing w:after="0" w:line="264" w:lineRule="auto"/>
        <w:rPr>
          <w:rFonts w:cs="Abz-2 (Badr)" w:hint="cs"/>
          <w:rtl/>
          <w:lang w:bidi="fa-IR"/>
        </w:rPr>
      </w:pPr>
      <w:r>
        <w:rPr>
          <w:rStyle w:val="FootnoteReference"/>
          <w:rFonts w:cs="Abz-2 (Badr)"/>
        </w:rPr>
        <w:footnoteRef/>
      </w:r>
      <w:r>
        <w:rPr>
          <w:rFonts w:cs="Abz-2 (Badr)"/>
        </w:rPr>
        <w:t xml:space="preserve"> </w:t>
      </w:r>
      <w:r>
        <w:rPr>
          <w:rFonts w:cs="Abz-2 (Badr)" w:hint="cs"/>
          <w:rtl/>
        </w:rPr>
        <w:t>ـ المهذّب،ج2،ص352.</w:t>
      </w:r>
    </w:p>
  </w:footnote>
  <w:footnote w:id="5">
    <w:p w14:paraId="1EF3BCE8" w14:textId="77777777" w:rsidR="001A284A" w:rsidRDefault="001A284A" w:rsidP="001A284A">
      <w:pPr>
        <w:widowControl w:val="0"/>
        <w:bidi/>
        <w:spacing w:after="0" w:line="264" w:lineRule="auto"/>
        <w:rPr>
          <w:rFonts w:cs="Abz-2 (Badr)" w:hint="cs"/>
          <w:rtl/>
          <w:lang w:bidi="fa-IR"/>
        </w:rPr>
      </w:pPr>
      <w:r>
        <w:rPr>
          <w:rStyle w:val="FootnoteReference"/>
          <w:rFonts w:cs="Abz-2 (Badr)"/>
        </w:rPr>
        <w:footnoteRef/>
      </w:r>
      <w:r>
        <w:rPr>
          <w:rFonts w:cs="Abz-2 (Badr)"/>
        </w:rPr>
        <w:t xml:space="preserve"> </w:t>
      </w:r>
      <w:r>
        <w:rPr>
          <w:rFonts w:cs="Abz-2 (Badr)" w:hint="cs"/>
          <w:rtl/>
        </w:rPr>
        <w:t>ـ روضة،ج5،ص463 و 464.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779F1" w14:textId="77777777" w:rsidR="001A284A" w:rsidRDefault="001A28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12883B99">
              <wp:simplePos x="0" y="0"/>
              <wp:positionH relativeFrom="column">
                <wp:posOffset>1652270</wp:posOffset>
              </wp:positionH>
              <wp:positionV relativeFrom="paragraph">
                <wp:posOffset>180975</wp:posOffset>
              </wp:positionV>
              <wp:extent cx="4427220" cy="20097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7220" cy="200977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77777777" w:rsidR="005D7224" w:rsidRDefault="005D7224" w:rsidP="005D7224">
                          <w:pPr>
                            <w:jc w:val="right"/>
                            <w:rPr>
                              <w:rFonts w:cs="B Mehr"/>
                            </w:rPr>
                          </w:pPr>
                          <w:r>
                            <w:rPr>
                              <w:rFonts w:cs="B Mehr" w:hint="cs"/>
                              <w:rtl/>
                            </w:rPr>
                            <w:t>مبحث:  نکاح - احکام  اولاد</w:t>
                          </w:r>
                        </w:p>
                        <w:p w14:paraId="3F96BF3F" w14:textId="5C5506BB" w:rsidR="005D7224" w:rsidRDefault="005D7224" w:rsidP="005D7224">
                          <w:pPr>
                            <w:bidi/>
                          </w:pPr>
                          <w:r>
                            <w:rPr>
                              <w:rFonts w:cs="B Mehr" w:hint="cs"/>
                              <w:rtl/>
                            </w:rPr>
                            <w:t xml:space="preserve">تاریخ: </w:t>
                          </w:r>
                          <w:r>
                            <w:rPr>
                              <w:rFonts w:cs="B Mehr" w:hint="cs"/>
                              <w:lang w:bidi="fa-IR"/>
                            </w:rPr>
                            <w:t xml:space="preserve"> </w:t>
                          </w:r>
                          <w:r>
                            <w:rPr>
                              <w:rFonts w:cs="B Mehr" w:hint="cs"/>
                              <w:rtl/>
                              <w:lang w:bidi="fa-IR"/>
                            </w:rPr>
                            <w:t xml:space="preserve"> </w:t>
                          </w:r>
                          <w:r w:rsidR="00615E80">
                            <w:rPr>
                              <w:rFonts w:cs="B Mehr" w:hint="cs"/>
                              <w:rtl/>
                              <w:lang w:bidi="fa-IR"/>
                            </w:rPr>
                            <w:t>شنبه</w:t>
                          </w:r>
                          <w:r>
                            <w:rPr>
                              <w:rFonts w:cs="B Mehr" w:hint="cs"/>
                              <w:rtl/>
                              <w:lang w:bidi="fa-IR"/>
                            </w:rPr>
                            <w:t xml:space="preserve"> </w:t>
                          </w:r>
                          <w:r>
                            <w:rPr>
                              <w:rFonts w:cs="B Mehr" w:hint="cs"/>
                              <w:rtl/>
                            </w:rPr>
                            <w:t xml:space="preserve">،   </w:t>
                          </w:r>
                          <w:r w:rsidR="001A284A">
                            <w:rPr>
                              <w:rFonts w:cs="B Mehr" w:hint="cs"/>
                              <w:rtl/>
                            </w:rPr>
                            <w:t>06</w:t>
                          </w:r>
                          <w:r>
                            <w:rPr>
                              <w:rFonts w:cs="B Mehr" w:hint="cs"/>
                              <w:rtl/>
                            </w:rPr>
                            <w:t xml:space="preserve">  </w:t>
                          </w:r>
                          <w:r w:rsidR="00615E80">
                            <w:rPr>
                              <w:rFonts w:cs="B Mehr" w:hint="cs"/>
                              <w:rtl/>
                            </w:rPr>
                            <w:t>اردیبهشت</w:t>
                          </w:r>
                          <w:r>
                            <w:rPr>
                              <w:rFonts w:cs="B Mehr" w:hint="cs"/>
                              <w:rtl/>
                            </w:rPr>
                            <w:t xml:space="preserve">  ماه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30.1pt;margin-top:14.25pt;width:348.6pt;height:158.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77777777" w:rsidR="005D7224" w:rsidRDefault="005D7224" w:rsidP="005D7224">
                    <w:pPr>
                      <w:jc w:val="right"/>
                      <w:rPr>
                        <w:rFonts w:cs="B Mehr"/>
                      </w:rPr>
                    </w:pPr>
                    <w:r>
                      <w:rPr>
                        <w:rFonts w:cs="B Mehr" w:hint="cs"/>
                        <w:rtl/>
                      </w:rPr>
                      <w:t>مبحث:  نکاح - احکام  اولاد</w:t>
                    </w:r>
                  </w:p>
                  <w:p w14:paraId="3F96BF3F" w14:textId="5C5506BB" w:rsidR="005D7224" w:rsidRDefault="005D7224" w:rsidP="005D7224">
                    <w:pPr>
                      <w:bidi/>
                    </w:pPr>
                    <w:r>
                      <w:rPr>
                        <w:rFonts w:cs="B Mehr" w:hint="cs"/>
                        <w:rtl/>
                      </w:rPr>
                      <w:t xml:space="preserve">تاریخ: </w:t>
                    </w:r>
                    <w:r>
                      <w:rPr>
                        <w:rFonts w:cs="B Mehr" w:hint="cs"/>
                        <w:lang w:bidi="fa-IR"/>
                      </w:rPr>
                      <w:t xml:space="preserve"> </w:t>
                    </w:r>
                    <w:r>
                      <w:rPr>
                        <w:rFonts w:cs="B Mehr" w:hint="cs"/>
                        <w:rtl/>
                        <w:lang w:bidi="fa-IR"/>
                      </w:rPr>
                      <w:t xml:space="preserve"> </w:t>
                    </w:r>
                    <w:r w:rsidR="00615E80">
                      <w:rPr>
                        <w:rFonts w:cs="B Mehr" w:hint="cs"/>
                        <w:rtl/>
                        <w:lang w:bidi="fa-IR"/>
                      </w:rPr>
                      <w:t>شنبه</w:t>
                    </w:r>
                    <w:r>
                      <w:rPr>
                        <w:rFonts w:cs="B Mehr" w:hint="cs"/>
                        <w:rtl/>
                        <w:lang w:bidi="fa-IR"/>
                      </w:rPr>
                      <w:t xml:space="preserve"> </w:t>
                    </w:r>
                    <w:r>
                      <w:rPr>
                        <w:rFonts w:cs="B Mehr" w:hint="cs"/>
                        <w:rtl/>
                      </w:rPr>
                      <w:t xml:space="preserve">،   </w:t>
                    </w:r>
                    <w:r w:rsidR="001A284A">
                      <w:rPr>
                        <w:rFonts w:cs="B Mehr" w:hint="cs"/>
                        <w:rtl/>
                      </w:rPr>
                      <w:t>06</w:t>
                    </w:r>
                    <w:r>
                      <w:rPr>
                        <w:rFonts w:cs="B Mehr" w:hint="cs"/>
                        <w:rtl/>
                      </w:rPr>
                      <w:t xml:space="preserve">  </w:t>
                    </w:r>
                    <w:r w:rsidR="00615E80">
                      <w:rPr>
                        <w:rFonts w:cs="B Mehr" w:hint="cs"/>
                        <w:rtl/>
                      </w:rPr>
                      <w:t>اردیبهشت</w:t>
                    </w:r>
                    <w:r>
                      <w:rPr>
                        <w:rFonts w:cs="B Mehr" w:hint="cs"/>
                        <w:rtl/>
                      </w:rPr>
                      <w:t xml:space="preserve">  ماه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FA50" w14:textId="77777777" w:rsidR="001A284A" w:rsidRDefault="001A284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77D0"/>
    <w:rsid w:val="000879BF"/>
    <w:rsid w:val="00087DF6"/>
    <w:rsid w:val="00090434"/>
    <w:rsid w:val="000906D6"/>
    <w:rsid w:val="00090F44"/>
    <w:rsid w:val="0009163B"/>
    <w:rsid w:val="0009310C"/>
    <w:rsid w:val="000935EF"/>
    <w:rsid w:val="0009371A"/>
    <w:rsid w:val="000944F3"/>
    <w:rsid w:val="00094F05"/>
    <w:rsid w:val="0009574F"/>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351C"/>
    <w:rsid w:val="00123C66"/>
    <w:rsid w:val="00125597"/>
    <w:rsid w:val="001255F1"/>
    <w:rsid w:val="00125951"/>
    <w:rsid w:val="00125FA8"/>
    <w:rsid w:val="00125FDD"/>
    <w:rsid w:val="0012644A"/>
    <w:rsid w:val="0012691C"/>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2500"/>
    <w:rsid w:val="001E259D"/>
    <w:rsid w:val="001E2F1F"/>
    <w:rsid w:val="001E316E"/>
    <w:rsid w:val="001E42BD"/>
    <w:rsid w:val="001E42C2"/>
    <w:rsid w:val="001E4A2F"/>
    <w:rsid w:val="001E5318"/>
    <w:rsid w:val="001E5F90"/>
    <w:rsid w:val="001E7DD4"/>
    <w:rsid w:val="001F0D9D"/>
    <w:rsid w:val="001F10F8"/>
    <w:rsid w:val="001F22D4"/>
    <w:rsid w:val="001F2AD5"/>
    <w:rsid w:val="001F2B6B"/>
    <w:rsid w:val="001F4E1F"/>
    <w:rsid w:val="001F55A0"/>
    <w:rsid w:val="001F5FEF"/>
    <w:rsid w:val="001F7036"/>
    <w:rsid w:val="001F7146"/>
    <w:rsid w:val="001F7742"/>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3760"/>
    <w:rsid w:val="00224A02"/>
    <w:rsid w:val="00224B4E"/>
    <w:rsid w:val="00225039"/>
    <w:rsid w:val="0022642F"/>
    <w:rsid w:val="00226A06"/>
    <w:rsid w:val="00226BFA"/>
    <w:rsid w:val="002275B4"/>
    <w:rsid w:val="00230ACF"/>
    <w:rsid w:val="00230EC1"/>
    <w:rsid w:val="0023164B"/>
    <w:rsid w:val="002316AF"/>
    <w:rsid w:val="00231CAC"/>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3017E"/>
    <w:rsid w:val="00430B2C"/>
    <w:rsid w:val="004325DD"/>
    <w:rsid w:val="00432F13"/>
    <w:rsid w:val="00433357"/>
    <w:rsid w:val="0043340D"/>
    <w:rsid w:val="004335E4"/>
    <w:rsid w:val="00434053"/>
    <w:rsid w:val="004342E8"/>
    <w:rsid w:val="00435007"/>
    <w:rsid w:val="0043525A"/>
    <w:rsid w:val="004360B2"/>
    <w:rsid w:val="00436E12"/>
    <w:rsid w:val="0043733E"/>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6CD"/>
    <w:rsid w:val="004B2B59"/>
    <w:rsid w:val="004B2CAB"/>
    <w:rsid w:val="004B2FF5"/>
    <w:rsid w:val="004B3F7E"/>
    <w:rsid w:val="004B41A1"/>
    <w:rsid w:val="004B52DC"/>
    <w:rsid w:val="004B5767"/>
    <w:rsid w:val="004B57B3"/>
    <w:rsid w:val="004B6027"/>
    <w:rsid w:val="004B66D4"/>
    <w:rsid w:val="004B67F7"/>
    <w:rsid w:val="004B69C8"/>
    <w:rsid w:val="004B6FFA"/>
    <w:rsid w:val="004B709D"/>
    <w:rsid w:val="004B7366"/>
    <w:rsid w:val="004B78A6"/>
    <w:rsid w:val="004C09DD"/>
    <w:rsid w:val="004C0A9B"/>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501417"/>
    <w:rsid w:val="00501DA0"/>
    <w:rsid w:val="00501E11"/>
    <w:rsid w:val="00501E40"/>
    <w:rsid w:val="00504523"/>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7568"/>
    <w:rsid w:val="00517CCA"/>
    <w:rsid w:val="005204D0"/>
    <w:rsid w:val="0052082D"/>
    <w:rsid w:val="00520A5D"/>
    <w:rsid w:val="00520BC4"/>
    <w:rsid w:val="00520FB1"/>
    <w:rsid w:val="00521235"/>
    <w:rsid w:val="0052165F"/>
    <w:rsid w:val="00521B22"/>
    <w:rsid w:val="00522B2B"/>
    <w:rsid w:val="00522B9E"/>
    <w:rsid w:val="00523571"/>
    <w:rsid w:val="0052404B"/>
    <w:rsid w:val="00524815"/>
    <w:rsid w:val="00524A85"/>
    <w:rsid w:val="0052536B"/>
    <w:rsid w:val="00525A13"/>
    <w:rsid w:val="00525E9B"/>
    <w:rsid w:val="00526273"/>
    <w:rsid w:val="0052728F"/>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45A6"/>
    <w:rsid w:val="00554B94"/>
    <w:rsid w:val="00554D35"/>
    <w:rsid w:val="0055671F"/>
    <w:rsid w:val="00556729"/>
    <w:rsid w:val="00556776"/>
    <w:rsid w:val="005568E8"/>
    <w:rsid w:val="00557416"/>
    <w:rsid w:val="0056175F"/>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294"/>
    <w:rsid w:val="005D18C9"/>
    <w:rsid w:val="005D1A30"/>
    <w:rsid w:val="005D1C00"/>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8F"/>
    <w:rsid w:val="005F65C7"/>
    <w:rsid w:val="005F74ED"/>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9C5"/>
    <w:rsid w:val="00677FD6"/>
    <w:rsid w:val="00680C0B"/>
    <w:rsid w:val="00681573"/>
    <w:rsid w:val="00681BD4"/>
    <w:rsid w:val="006835A9"/>
    <w:rsid w:val="00683E00"/>
    <w:rsid w:val="0068409B"/>
    <w:rsid w:val="00684597"/>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73B"/>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11A"/>
    <w:rsid w:val="00814C68"/>
    <w:rsid w:val="00814D9E"/>
    <w:rsid w:val="0081576B"/>
    <w:rsid w:val="00816176"/>
    <w:rsid w:val="008161AB"/>
    <w:rsid w:val="00816D94"/>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4DD1"/>
    <w:rsid w:val="0083511D"/>
    <w:rsid w:val="008353D8"/>
    <w:rsid w:val="0083604C"/>
    <w:rsid w:val="00836783"/>
    <w:rsid w:val="00836FC7"/>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360A"/>
    <w:rsid w:val="00874389"/>
    <w:rsid w:val="008744A3"/>
    <w:rsid w:val="008751D3"/>
    <w:rsid w:val="008755CE"/>
    <w:rsid w:val="00875CD7"/>
    <w:rsid w:val="00875F23"/>
    <w:rsid w:val="00876056"/>
    <w:rsid w:val="00876372"/>
    <w:rsid w:val="00880173"/>
    <w:rsid w:val="00880698"/>
    <w:rsid w:val="00880E6D"/>
    <w:rsid w:val="00881627"/>
    <w:rsid w:val="00881E43"/>
    <w:rsid w:val="00882A45"/>
    <w:rsid w:val="008830C4"/>
    <w:rsid w:val="00883153"/>
    <w:rsid w:val="00884197"/>
    <w:rsid w:val="00884A15"/>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2C"/>
    <w:rsid w:val="00965DD0"/>
    <w:rsid w:val="009664CC"/>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314A"/>
    <w:rsid w:val="00A23159"/>
    <w:rsid w:val="00A23AD9"/>
    <w:rsid w:val="00A2412C"/>
    <w:rsid w:val="00A24ED5"/>
    <w:rsid w:val="00A25398"/>
    <w:rsid w:val="00A264FF"/>
    <w:rsid w:val="00A2700D"/>
    <w:rsid w:val="00A272BC"/>
    <w:rsid w:val="00A27527"/>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FF9"/>
    <w:rsid w:val="00A82392"/>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2440"/>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3EC"/>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1B91"/>
    <w:rsid w:val="00B7242C"/>
    <w:rsid w:val="00B73524"/>
    <w:rsid w:val="00B73698"/>
    <w:rsid w:val="00B74363"/>
    <w:rsid w:val="00B74659"/>
    <w:rsid w:val="00B7468F"/>
    <w:rsid w:val="00B7484F"/>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FA6"/>
    <w:rsid w:val="00BF2570"/>
    <w:rsid w:val="00BF2C43"/>
    <w:rsid w:val="00BF2CBE"/>
    <w:rsid w:val="00BF46B9"/>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7225"/>
    <w:rsid w:val="00D701D9"/>
    <w:rsid w:val="00D70280"/>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5EC"/>
    <w:rsid w:val="00EA36CE"/>
    <w:rsid w:val="00EA3E74"/>
    <w:rsid w:val="00EA57A0"/>
    <w:rsid w:val="00EA5958"/>
    <w:rsid w:val="00EA648C"/>
    <w:rsid w:val="00EA7966"/>
    <w:rsid w:val="00EB050B"/>
    <w:rsid w:val="00EB1D58"/>
    <w:rsid w:val="00EB26DB"/>
    <w:rsid w:val="00EB2FF6"/>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763E"/>
    <w:rsid w:val="00F17CBB"/>
    <w:rsid w:val="00F22DCF"/>
    <w:rsid w:val="00F248CE"/>
    <w:rsid w:val="00F24CA8"/>
    <w:rsid w:val="00F25A88"/>
    <w:rsid w:val="00F2670D"/>
    <w:rsid w:val="00F275E0"/>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E2"/>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9052E"/>
    <w:rsid w:val="00F90A95"/>
    <w:rsid w:val="00F90A99"/>
    <w:rsid w:val="00F90DD3"/>
    <w:rsid w:val="00F91736"/>
    <w:rsid w:val="00F92E2D"/>
    <w:rsid w:val="00F93448"/>
    <w:rsid w:val="00F94B59"/>
    <w:rsid w:val="00F95ADD"/>
    <w:rsid w:val="00F967A9"/>
    <w:rsid w:val="00F96918"/>
    <w:rsid w:val="00F96EF4"/>
    <w:rsid w:val="00F97D88"/>
    <w:rsid w:val="00FA05E8"/>
    <w:rsid w:val="00FA14D9"/>
    <w:rsid w:val="00FA1A37"/>
    <w:rsid w:val="00FA1D7F"/>
    <w:rsid w:val="00FA310B"/>
    <w:rsid w:val="00FA3411"/>
    <w:rsid w:val="00FA3904"/>
    <w:rsid w:val="00FA3DF2"/>
    <w:rsid w:val="00FA41CD"/>
    <w:rsid w:val="00FA41F1"/>
    <w:rsid w:val="00FA4541"/>
    <w:rsid w:val="00FA4D69"/>
    <w:rsid w:val="00FA52DD"/>
    <w:rsid w:val="00FA5403"/>
    <w:rsid w:val="00FA5DD1"/>
    <w:rsid w:val="00FA6266"/>
    <w:rsid w:val="00FA69B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2D69"/>
    <w:rsid w:val="00FE339B"/>
    <w:rsid w:val="00FE3CCD"/>
    <w:rsid w:val="00FE3E51"/>
    <w:rsid w:val="00FE4A36"/>
    <w:rsid w:val="00FE5178"/>
    <w:rsid w:val="00FE5CC2"/>
    <w:rsid w:val="00FE64B4"/>
    <w:rsid w:val="00FE741C"/>
    <w:rsid w:val="00FE7F32"/>
    <w:rsid w:val="00FF0795"/>
    <w:rsid w:val="00FF3A94"/>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21717</TotalTime>
  <Pages>1</Pages>
  <Words>493</Words>
  <Characters>2812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541</cp:revision>
  <cp:lastPrinted>2025-04-14T09:12:00Z</cp:lastPrinted>
  <dcterms:created xsi:type="dcterms:W3CDTF">2022-10-16T08:36:00Z</dcterms:created>
  <dcterms:modified xsi:type="dcterms:W3CDTF">2025-04-26T07:19:00Z</dcterms:modified>
</cp:coreProperties>
</file>